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Files\\Policy_</w:t>
      </w:r>
      <w:r>
        <w:rPr>
          <w:shd w:fill="D3D3D3" w:val="clear"/>
        </w:rPr>
        <w:t>十四五智能制造</w:t>
      </w:r>
      <w:r>
        <w:rPr>
          <w:shd w:fill="D3D3D3" w:val="clear"/>
        </w:rPr>
        <w:t>.pdf - § 13 references coded [ 3.41% Coverage]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1 - 0.42%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美国“先进制造业领导力战略”、德国“国家工业 战略 </w:t>
      </w:r>
      <w:r>
        <w:rPr/>
        <w:t>2030”</w:t>
      </w:r>
      <w:r>
        <w:rPr/>
        <w:t xml:space="preserve">、日本“社会 </w:t>
      </w:r>
      <w:r>
        <w:rPr/>
        <w:t>5.0”</w:t>
      </w:r>
      <w:r>
        <w:rPr/>
        <w:t>等以重振制造业为核心的发展战 略，均以智能制造为主要抓手，力图抢占全球制造业新一轮竞 争制高点。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2 - 0.49%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要坚定不移地以智能制造为 主攻方向，推动产业技术变革和优化升级，推动制造业产业模 式和企业形态根本性转变，以“鼎新”带动“革故”，提高质 量、效率效益，减少资源能源消耗，畅通产业链供应链，助力 碳达峰碳中和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3 - 0.25%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强化企业在发展智能制造中的主体地位。更好发挥政府在 战略规划引导、标准法规制定、公共服务供给等方面作用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4 - 0.37%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统筹 </w:t>
      </w:r>
      <w:r>
        <w:rPr/>
        <w:br/>
      </w:r>
      <w:r>
        <w:rPr/>
        <w:t xml:space="preserve">考虑区域、行业发展差异，加强前瞻性思考、全局性谋划、战 略性布局、整体性推进，充分发挥地方、行业和企业积极性， </w:t>
      </w:r>
      <w:r>
        <w:rPr/>
        <w:t xml:space="preserve">3 </w:t>
        <w:br/>
      </w:r>
      <w:r>
        <w:rPr/>
        <w:t>分层分类系统推动智能制造创新发展。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5 - 0.21%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到 </w:t>
      </w:r>
      <w:r>
        <w:rPr/>
        <w:t xml:space="preserve">2025 </w:t>
      </w:r>
      <w:r>
        <w:rPr/>
        <w:t>年，规模以上制造业企业大部分实现数字化网络化， 重点行业骨干企业初步应用智能化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6 - 0.25%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 动产业化促进组织建设，加快创新成果转移转化。建设一批试 验验证平台，加速智能制造装备和系统推广应用。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7 - 0.23%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支持专精特新“小巨人”企业发挥示 范引领作用，开展装备联网、关键工序数控化、业务系统云化 等改造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8 - 0.31%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大力发展智能制造装备。针对感知、控制、决策、执行等 </w:t>
      </w:r>
      <w:r>
        <w:rPr/>
        <w:br/>
      </w:r>
      <w:r>
        <w:rPr/>
        <w:t>环节的短板弱项，加强用产学研联合创新，突破一批“卡脖子” 基础零部件和装置。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9 - 0.18%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深化新工科建设，在智能制造领域建设一批现代产 业学院和特色化示范性软件学院，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10 - 0.23%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加强部门协同，统筹实施智能制造 </w:t>
      </w:r>
      <w:r>
        <w:rPr/>
        <w:br/>
      </w:r>
      <w:r>
        <w:rPr/>
        <w:t>工程，深入开展技术攻关、装备创新、示范应用、标准化、人 才培养等。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11 - 0.17% Coverage</w:t>
      </w:r>
    </w:p>
    <w:p>
      <w:pPr>
        <w:pStyle w:val="BodyText"/>
        <w:bidi w:val="0"/>
        <w:spacing w:before="0" w:after="0"/>
        <w:jc w:val="left"/>
        <w:rPr/>
      </w:pPr>
      <w:r>
        <w:rPr/>
        <w:t>鼓励企业结合自 身实际加快实施智能制造，持续做好安全生产和环境保护工 作。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12 - 0.18%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鼓励跨国公 司、国外科研机构等在华建设智能制造研发中心、示范工厂、 培训中心等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13 - 0.12% Coverage</w:t>
      </w:r>
    </w:p>
    <w:p>
      <w:pPr>
        <w:pStyle w:val="BodyText"/>
        <w:bidi w:val="0"/>
        <w:spacing w:before="0" w:after="0"/>
        <w:jc w:val="left"/>
        <w:rPr/>
      </w:pPr>
      <w:r>
        <w:rPr/>
        <w:t>鼓励智能制造装备、软件、标准和解 决方案“走出去”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华文宋体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华文宋体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LibreOffice/25.2.1.2$MacOSX_X86_64 LibreOffice_project/d3abf4aee5fd705e4a92bba33a32f40bc4e56f49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zh-CN</dc:language>
  <cp:lastModifiedBy/>
  <cp:revision>0</cp:revision>
  <dc:subject/>
  <dc:title/>
</cp:coreProperties>
</file>